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一等奖：朱炳录、胡莉茹、王晓皇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二等奖：赵瑾、苏严严、刘宣励、李知霖、郑苗、渠立苇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三等奖：黎先杏、李蕊、董玥滢、陈欣荣、刘榕玮、张雅、李少斌、叶曙民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单项奖：王逸龙、董文英、孙嘉梁、高懿、李睿、肖宁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校优干：胡莉茹、刘宣励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院优干：朱炳录、王逸龙、李睿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校优生：苏严严、赵瑾、李知霖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院优生：董玥滢、叶曙民、李蕊、王晓皇、郑苗、渠立苇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